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2024 380 vom 20. Mai 2025</w:t>
      </w:r>
    </w:p>
    <w:p>
      <w:r>
        <w:t>BE Obergericht, 2025-05-20, DE</w:t>
      </w:r>
    </w:p>
    <w:p>
      <w:r>
        <w:rPr>
          <w:b/>
        </w:rPr>
        <w:t xml:space="preserve">Quelle: </w:t>
      </w:r>
      <w:r>
        <w:t>https://mcp.opencaselaw.ch/entscheid/be_zivilstraf_BK 2024 380</w:t>
      </w:r>
    </w:p>
    <w:p>
      <w:r>
        <w:t>FR: BE_ZIVILSTRAF BK 2024 380 du 20 mai 2025</w:t>
      </w:r>
    </w:p>
    <w:p>
      <w:r>
        <w:t>IT: BE_ZIVILSTRAF BK 2024 380 del 20 maggio 2025</w:t>
      </w:r>
    </w:p>
    <w:p>
      <w:pPr>
        <w:pStyle w:val="Heading2"/>
      </w:pPr>
      <w:r>
        <w:t>Regeste</w:t>
      </w:r>
    </w:p>
    <w:p>
      <w:r>
        <w:t>Nichtanhandnahme; Widerhandlung gegen das Urheberrechtsgesetz und Widerhandlung gegen das Bundesgesetz über den unlauteren Wettbewerb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BM 24 34111 vom 30. August 2024 nahm die Regionale Staatsan- waltschaft Bern-Mittelland (nachfolgend: Staatsanwaltschaft) das von der E.________ AG (nachfolgend: Beschwerdeführerin) mit Strafanzeige vom 16. Au- gust 2024 gegen A.________ (nachfolgend: Beschuldigte 1), C.________ (nachfol- gend: Beschuldigter 2), D.________ (nachfolgend: Beschuldigter 3) und unbekannte Täterschaft (nachfolgend: Beschuldigte 4) initiierte Strafverfahren wegen Wider- handlung gegen das Bundesgesetz über das Urheberrecht und verwandte Schutz- rechte sowie Widerhandlung gegen das Bundesgesetz über den unlauteren Wettbe- werb, angeblich begangen zum Nachteil der Beschwerdeführerin, nicht an die Hand. Dagegen erhob die Beschwerdeführerin, handelnd durch F.________, am 16. Sep- tember 2024 Beschwerde bei der Beschwerdekammer in Strafsachen des Oberge- richts des Kantons Bern (nachfolgend: Beschwerdekammer) und beantragte: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